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关于2022级人才培养方案</w:t>
      </w:r>
      <w:bookmarkStart w:id="0" w:name="_Hlk96498248"/>
      <w:r>
        <w:rPr>
          <w:rFonts w:hint="eastAsia" w:ascii="方正小标宋_GBK" w:eastAsia="方正小标宋_GBK"/>
          <w:sz w:val="40"/>
          <w:szCs w:val="44"/>
        </w:rPr>
        <w:t>制</w:t>
      </w:r>
      <w:bookmarkEnd w:id="0"/>
      <w:r>
        <w:rPr>
          <w:rFonts w:hint="eastAsia" w:ascii="方正小标宋_GBK" w:eastAsia="方正小标宋_GBK"/>
          <w:sz w:val="40"/>
          <w:szCs w:val="44"/>
        </w:rPr>
        <w:t>定的补充通知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各教学单位：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根据学校的教学安排，现将</w:t>
      </w: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2022级人才培养方案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</w:rPr>
        <w:t>制定补充通知如下：</w:t>
      </w:r>
    </w:p>
    <w:p>
      <w:pPr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24"/>
        </w:rPr>
      </w:pPr>
      <w:r>
        <w:rPr>
          <w:rFonts w:hint="eastAsia" w:ascii="黑体" w:hAnsi="黑体" w:eastAsia="黑体" w:cs="Times New Roman"/>
          <w:color w:val="000000"/>
          <w:sz w:val="32"/>
          <w:szCs w:val="24"/>
        </w:rPr>
        <w:t>一、调整思政课教学计划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color w:val="000000"/>
          <w:sz w:val="32"/>
          <w:szCs w:val="24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24"/>
        </w:rPr>
        <w:t>思政类课程设置一览表（本专科）</w:t>
      </w:r>
    </w:p>
    <w:tbl>
      <w:tblPr>
        <w:tblStyle w:val="6"/>
        <w:tblW w:w="11148" w:type="dxa"/>
        <w:tblInd w:w="-13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91"/>
        <w:gridCol w:w="1369"/>
        <w:gridCol w:w="573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6"/>
        <w:gridCol w:w="555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课程  模块</w:t>
            </w:r>
          </w:p>
        </w:tc>
        <w:tc>
          <w:tcPr>
            <w:tcW w:w="99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课程代码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课程名称</w:t>
            </w:r>
          </w:p>
        </w:tc>
        <w:tc>
          <w:tcPr>
            <w:tcW w:w="5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学分</w:t>
            </w:r>
          </w:p>
        </w:tc>
        <w:tc>
          <w:tcPr>
            <w:tcW w:w="184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学时</w:t>
            </w:r>
          </w:p>
        </w:tc>
        <w:tc>
          <w:tcPr>
            <w:tcW w:w="4264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行课学期</w:t>
            </w:r>
          </w:p>
        </w:tc>
        <w:tc>
          <w:tcPr>
            <w:tcW w:w="55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考核方式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000000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总计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理论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实践/实验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自修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9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</w:rPr>
              <w:t>10</w:t>
            </w:r>
          </w:p>
        </w:tc>
        <w:tc>
          <w:tcPr>
            <w:tcW w:w="5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left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通识课程</w:t>
            </w:r>
          </w:p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2</w:t>
            </w: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02200001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书宋简体" w:hAnsi="宋体" w:eastAsia="方正书宋简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思想道德与法治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2.5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40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36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4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40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考试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本专科学生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201909393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中国近现代史纲要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2.5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40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36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4</w:t>
            </w: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考试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本科学生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2</w:t>
            </w: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02200002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马克思主义基本原理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2.5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40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36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40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考试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本科学生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201907247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毛泽东思想和中国特色社会主义理论体系概论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4.5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72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64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8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72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考试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本科学生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201907246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毛泽东思想和中国特色社会主义理论体系概论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3.5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56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50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color w:val="FF0000"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/>
                <w:b/>
                <w:color w:val="FF0000"/>
                <w:sz w:val="15"/>
                <w:highlight w:val="none"/>
              </w:rPr>
              <w:t>6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56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考试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szCs w:val="24"/>
                <w:highlight w:val="none"/>
              </w:rPr>
              <w:t>专科学生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201908026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形势与政策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48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0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考查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201908027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形势与政策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64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64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0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Calibri" w:hAnsi="Calibri" w:eastAsia="宋体" w:cs="Times New Roman"/>
                <w:bCs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考查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四年制本科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201908027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形势与政策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0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0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8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Calibri" w:hAnsi="Calibri" w:eastAsia="宋体" w:cs="Times New Roman"/>
                <w:bCs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考查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五年制本科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201902810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思想政治理论课综合实践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2</w:t>
            </w: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周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2周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2周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考查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201902809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思想政治理论课综合实践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highlight w:val="none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1</w:t>
            </w:r>
            <w:r>
              <w:rPr>
                <w:rFonts w:hint="eastAsia"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周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1周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</w:pPr>
            <w:r>
              <w:rPr>
                <w:rFonts w:ascii="方正书宋简体" w:hAnsi="宋体" w:eastAsia="方正书宋简体" w:cs="Times New Roman"/>
                <w:b/>
                <w:color w:val="FF0000"/>
                <w:sz w:val="15"/>
                <w:highlight w:val="none"/>
              </w:rPr>
              <w:t>1周</w:t>
            </w: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000000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考查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15"/>
                <w:szCs w:val="24"/>
                <w:highlight w:val="none"/>
              </w:rPr>
              <w:t>专科</w:t>
            </w:r>
          </w:p>
        </w:tc>
      </w:tr>
    </w:tbl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24"/>
          <w:highlight w:val="none"/>
        </w:rPr>
      </w:pPr>
      <w:r>
        <w:rPr>
          <w:rFonts w:hint="eastAsia" w:ascii="黑体" w:hAnsi="黑体" w:eastAsia="黑体" w:cs="Times New Roman"/>
          <w:color w:val="000000"/>
          <w:sz w:val="32"/>
          <w:szCs w:val="24"/>
          <w:highlight w:val="none"/>
        </w:rPr>
        <w:t>二、调整校管专科课程计算机基础</w:t>
      </w:r>
      <w:r>
        <w:rPr>
          <w:rFonts w:ascii="黑体" w:hAnsi="黑体" w:eastAsia="黑体" w:cs="Times New Roman"/>
          <w:color w:val="000000"/>
          <w:sz w:val="32"/>
          <w:szCs w:val="24"/>
          <w:highlight w:val="none"/>
        </w:rPr>
        <w:t>1</w:t>
      </w:r>
      <w:r>
        <w:rPr>
          <w:rFonts w:hint="eastAsia" w:ascii="黑体" w:hAnsi="黑体" w:eastAsia="黑体" w:cs="Times New Roman"/>
          <w:color w:val="000000"/>
          <w:sz w:val="32"/>
          <w:szCs w:val="24"/>
          <w:highlight w:val="none"/>
        </w:rPr>
        <w:t>学分设置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24"/>
          <w:highlight w:val="none"/>
        </w:rPr>
      </w:pPr>
      <w:bookmarkStart w:id="1" w:name="_Hlk96500509"/>
      <w:r>
        <w:rPr>
          <w:rFonts w:hint="eastAsia" w:ascii="Times New Roman" w:hAnsi="Times New Roman" w:eastAsia="仿宋_GB2312" w:cs="Times New Roman"/>
          <w:color w:val="000000"/>
          <w:sz w:val="32"/>
          <w:szCs w:val="24"/>
          <w:highlight w:val="none"/>
        </w:rPr>
        <w:t>校管专科课程</w:t>
      </w:r>
      <w:bookmarkEnd w:id="1"/>
      <w:r>
        <w:rPr>
          <w:rFonts w:hint="eastAsia" w:ascii="Times New Roman" w:hAnsi="Times New Roman" w:eastAsia="仿宋_GB2312" w:cs="Times New Roman"/>
          <w:color w:val="000000"/>
          <w:sz w:val="32"/>
          <w:szCs w:val="24"/>
          <w:highlight w:val="none"/>
        </w:rPr>
        <w:t>设置一览表</w:t>
      </w:r>
    </w:p>
    <w:tbl>
      <w:tblPr>
        <w:tblStyle w:val="6"/>
        <w:tblW w:w="94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47"/>
        <w:gridCol w:w="690"/>
        <w:gridCol w:w="690"/>
        <w:gridCol w:w="690"/>
        <w:gridCol w:w="730"/>
        <w:gridCol w:w="601"/>
        <w:gridCol w:w="425"/>
        <w:gridCol w:w="395"/>
        <w:gridCol w:w="404"/>
        <w:gridCol w:w="433"/>
        <w:gridCol w:w="250"/>
        <w:gridCol w:w="233"/>
        <w:gridCol w:w="3"/>
        <w:gridCol w:w="777"/>
        <w:gridCol w:w="3"/>
        <w:gridCol w:w="612"/>
        <w:gridCol w:w="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89" w:hRule="atLeast"/>
        </w:trPr>
        <w:tc>
          <w:tcPr>
            <w:tcW w:w="9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课程代码</w:t>
            </w:r>
          </w:p>
        </w:tc>
        <w:tc>
          <w:tcPr>
            <w:tcW w:w="15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课程名称</w:t>
            </w:r>
          </w:p>
        </w:tc>
        <w:tc>
          <w:tcPr>
            <w:tcW w:w="69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学分</w:t>
            </w:r>
          </w:p>
        </w:tc>
        <w:tc>
          <w:tcPr>
            <w:tcW w:w="271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学时</w:t>
            </w:r>
          </w:p>
        </w:tc>
        <w:tc>
          <w:tcPr>
            <w:tcW w:w="214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行课学期</w:t>
            </w: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考核方式</w:t>
            </w:r>
          </w:p>
        </w:tc>
        <w:tc>
          <w:tcPr>
            <w:tcW w:w="615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总计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理论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实践/实验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自修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2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3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4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b/>
                <w:sz w:val="15"/>
                <w:szCs w:val="24"/>
                <w:highlight w:val="none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</w:p>
        </w:tc>
        <w:tc>
          <w:tcPr>
            <w:tcW w:w="615" w:type="dxa"/>
            <w:gridSpan w:val="2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201901239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大学外语1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3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5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50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5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</w:p>
        </w:tc>
        <w:tc>
          <w:tcPr>
            <w:tcW w:w="3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201901243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大学外语2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56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202000645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大学物理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3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8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8</w:t>
            </w:r>
          </w:p>
        </w:tc>
        <w:tc>
          <w:tcPr>
            <w:tcW w:w="3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hAnsi="宋体" w:eastAsia="方正书宋简体" w:cs="Times New Roman"/>
                <w:b/>
                <w:sz w:val="15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201904288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高等数学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理工)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A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56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64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理工农医类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201904294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高等数学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理工)B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64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56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64</w:t>
            </w:r>
          </w:p>
        </w:tc>
        <w:tc>
          <w:tcPr>
            <w:tcW w:w="4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理工农医类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202100276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bookmarkStart w:id="2" w:name="_Hlk96500517"/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计算机基础1</w:t>
            </w:r>
            <w:bookmarkEnd w:id="2"/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  <w:t>（专科）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  <w:t>42</w:t>
            </w:r>
            <w:bookmarkStart w:id="3" w:name="_GoBack"/>
            <w:bookmarkEnd w:id="3"/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  <w:t>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</w:pPr>
            <w:r>
              <w:rPr>
                <w:rFonts w:ascii="黑体" w:hAnsi="黑体" w:eastAsia="黑体" w:cs="Times New Roman"/>
                <w:b/>
                <w:color w:val="FF0000"/>
                <w:sz w:val="15"/>
                <w:szCs w:val="15"/>
                <w:highlight w:val="none"/>
              </w:rPr>
              <w:t>48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包含理论实践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201905802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计算机基础2(MS Office)（含实践）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64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56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56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包含理论实践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201905793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计算机基础2(Access)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36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201905815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计算机基础2实验(Access)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1.5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考查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201905795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计算机基础2(C语言)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40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201905816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计算机基础2实验(C语言)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1.5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考查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20190379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线性代数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28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24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考试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理工农医类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202100277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大学语文1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3.5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5</w:t>
            </w:r>
            <w:r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  <w:t>48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kern w:val="2"/>
                <w:sz w:val="15"/>
                <w:szCs w:val="15"/>
                <w:highlight w:val="none"/>
                <w:lang w:val="en-US" w:eastAsia="zh-CN" w:bidi="ar-SA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5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非理工农医类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20210027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  <w:t>大学语文</w:t>
            </w: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48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16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8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64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Cs/>
                <w:sz w:val="15"/>
                <w:szCs w:val="15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sz w:val="15"/>
                <w:szCs w:val="15"/>
                <w:highlight w:val="none"/>
                <w:lang w:val="en-US" w:eastAsia="zh-CN"/>
              </w:rPr>
              <w:t>非理工农医类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三、体育课</w:t>
      </w:r>
    </w:p>
    <w:p>
      <w:pPr>
        <w:ind w:firstLine="640"/>
        <w:rPr>
          <w:rFonts w:ascii="仿宋_GB2312" w:hAnsi="黑体" w:eastAsia="仿宋_GB2312" w:cs="黑体"/>
          <w:color w:val="FF0000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FF0000"/>
          <w:sz w:val="32"/>
          <w:szCs w:val="32"/>
          <w:highlight w:val="none"/>
        </w:rPr>
        <w:t>2022级本专科人才培养方案体育课按照2021级执行，请各教学单位在制定人才培养方案时列出。</w:t>
      </w:r>
    </w:p>
    <w:p>
      <w:pPr>
        <w:ind w:firstLine="64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四、学分结构表</w:t>
      </w:r>
    </w:p>
    <w:p>
      <w:pPr>
        <w:spacing w:line="460" w:lineRule="exact"/>
        <w:jc w:val="center"/>
        <w:rPr>
          <w:rFonts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人才培养方案学分结构</w:t>
      </w:r>
    </w:p>
    <w:tbl>
      <w:tblPr>
        <w:tblStyle w:val="6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147"/>
        <w:gridCol w:w="1054"/>
        <w:gridCol w:w="976"/>
        <w:gridCol w:w="1407"/>
        <w:gridCol w:w="851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全部课程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？？学分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必修课程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？？学分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选修课程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 xml:space="preserve"> ？？学分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课程模块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通识必修课程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FF000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4"/>
                <w:highlight w:val="none"/>
              </w:rPr>
              <w:t>学科基础课程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FF000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4"/>
                <w:highlight w:val="none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color w:val="FF000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4"/>
                <w:highlight w:val="none"/>
              </w:rPr>
              <w:t>课程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集中性实践环节课程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通识选修课程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专业限选课程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学分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4"/>
                <w:highlight w:val="none"/>
              </w:rPr>
              <w:t>15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Cs w:val="24"/>
              </w:rPr>
              <w:t>学分比例％</w:t>
            </w:r>
          </w:p>
        </w:tc>
        <w:tc>
          <w:tcPr>
            <w:tcW w:w="4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4"/>
              </w:rPr>
            </w:pPr>
          </w:p>
        </w:tc>
      </w:tr>
    </w:tbl>
    <w:p>
      <w:pPr>
        <w:spacing w:line="460" w:lineRule="exact"/>
        <w:ind w:firstLine="420" w:firstLineChars="200"/>
        <w:rPr>
          <w:rFonts w:ascii="宋体" w:hAnsi="宋体" w:eastAsia="宋体" w:cs="宋体"/>
          <w:bCs/>
          <w:szCs w:val="24"/>
        </w:rPr>
      </w:pPr>
      <w:r>
        <w:rPr>
          <w:rFonts w:hint="eastAsia" w:ascii="宋体" w:hAnsi="宋体" w:eastAsia="宋体" w:cs="宋体"/>
          <w:bCs/>
          <w:szCs w:val="24"/>
        </w:rPr>
        <w:t>注：实践学分共？？学分，所占比例？？% （实践学分由实践环节课和实验课构成）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五、其他</w:t>
      </w: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1</w:t>
      </w:r>
      <w:r>
        <w:rPr>
          <w:rFonts w:ascii="仿宋_GB2312" w:hAnsi="黑体" w:eastAsia="仿宋_GB2312" w:cs="黑体"/>
          <w:sz w:val="32"/>
          <w:szCs w:val="32"/>
        </w:rPr>
        <w:t>.</w:t>
      </w:r>
      <w:r>
        <w:rPr>
          <w:rFonts w:hint="eastAsia" w:ascii="仿宋_GB2312" w:hAnsi="黑体" w:eastAsia="仿宋_GB2312" w:cs="黑体"/>
          <w:sz w:val="32"/>
          <w:szCs w:val="32"/>
          <w:highlight w:val="yellow"/>
        </w:rPr>
        <w:t>“红色字体”</w:t>
      </w:r>
      <w:r>
        <w:rPr>
          <w:rFonts w:hint="eastAsia" w:ascii="仿宋_GB2312" w:hAnsi="黑体" w:eastAsia="仿宋_GB2312" w:cs="黑体"/>
          <w:sz w:val="32"/>
          <w:szCs w:val="32"/>
          <w:highlight w:val="yellow"/>
          <w:lang w:val="en-US" w:eastAsia="zh-CN"/>
        </w:rPr>
        <w:t>为需更改内容</w:t>
      </w:r>
      <w:r>
        <w:rPr>
          <w:rFonts w:hint="eastAsia" w:ascii="仿宋_GB2312" w:hAnsi="黑体" w:eastAsia="仿宋_GB2312" w:cs="黑体"/>
          <w:sz w:val="32"/>
          <w:szCs w:val="32"/>
          <w:highlight w:val="yellow"/>
          <w:lang w:eastAsia="zh-CN"/>
        </w:rPr>
        <w:t>，</w:t>
      </w:r>
      <w:r>
        <w:rPr>
          <w:rFonts w:hint="eastAsia" w:ascii="仿宋_GB2312" w:hAnsi="黑体" w:eastAsia="仿宋_GB2312" w:cs="黑体"/>
          <w:sz w:val="32"/>
          <w:szCs w:val="32"/>
          <w:highlight w:val="yellow"/>
          <w:lang w:val="en-US" w:eastAsia="zh-CN"/>
        </w:rPr>
        <w:t>各学院请按要求完成更改</w:t>
      </w:r>
      <w:r>
        <w:rPr>
          <w:rFonts w:hint="eastAsia" w:ascii="仿宋_GB2312" w:hAnsi="黑体" w:eastAsia="仿宋_GB2312" w:cs="黑体"/>
          <w:sz w:val="32"/>
          <w:szCs w:val="32"/>
          <w:highlight w:val="yellow"/>
        </w:rPr>
        <w:t>；</w:t>
      </w:r>
    </w:p>
    <w:p>
      <w:pPr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</w:t>
      </w:r>
      <w:r>
        <w:rPr>
          <w:rFonts w:ascii="仿宋_GB2312" w:hAnsi="黑体" w:eastAsia="仿宋_GB2312" w:cs="黑体"/>
          <w:sz w:val="32"/>
          <w:szCs w:val="32"/>
        </w:rPr>
        <w:t>.</w:t>
      </w:r>
      <w:r>
        <w:rPr>
          <w:rFonts w:hint="eastAsia" w:ascii="仿宋_GB2312" w:hAnsi="黑体" w:eastAsia="仿宋_GB2312" w:cs="黑体"/>
          <w:sz w:val="32"/>
          <w:szCs w:val="32"/>
        </w:rPr>
        <w:t>各学院应及时报送以下材料：人才培养方案（附件2、3）；人才培养方案制定说明书（附件4）；攀枝花学院人才培养方案审定表（附件5）；学院修订人才培养方案过程总结材料（包括：专题调研、征集行业企业、师生意见、教学指导分委员会专题会议等内容）。以上材料请于2022年3月7日前报送至教务处教学改革管理科席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老师</w:t>
      </w:r>
      <w:r>
        <w:rPr>
          <w:rFonts w:hint="eastAsia" w:ascii="仿宋_GB2312" w:hAnsi="黑体" w:eastAsia="仿宋_GB2312" w:cs="黑体"/>
          <w:sz w:val="32"/>
          <w:szCs w:val="32"/>
        </w:rPr>
        <w:t>（办公楼</w:t>
      </w:r>
      <w:r>
        <w:rPr>
          <w:rFonts w:ascii="仿宋_GB2312" w:hAnsi="黑体" w:eastAsia="仿宋_GB2312" w:cs="黑体"/>
          <w:sz w:val="32"/>
          <w:szCs w:val="32"/>
        </w:rPr>
        <w:t>216</w:t>
      </w:r>
      <w:r>
        <w:rPr>
          <w:rFonts w:hint="eastAsia" w:ascii="仿宋_GB2312" w:hAnsi="黑体" w:eastAsia="仿宋_GB2312" w:cs="黑体"/>
          <w:sz w:val="32"/>
          <w:szCs w:val="32"/>
        </w:rPr>
        <w:t>室），电子档发送至邮箱</w:t>
      </w:r>
      <w:r>
        <w:rPr>
          <w:rFonts w:ascii="仿宋_GB2312" w:hAnsi="黑体" w:eastAsia="仿宋_GB2312" w:cs="黑体"/>
          <w:sz w:val="32"/>
          <w:szCs w:val="32"/>
        </w:rPr>
        <w:t>723409574</w:t>
      </w:r>
      <w:r>
        <w:rPr>
          <w:rFonts w:hint="eastAsia" w:ascii="仿宋_GB2312" w:hAnsi="黑体" w:eastAsia="仿宋_GB2312" w:cs="黑体"/>
          <w:sz w:val="32"/>
          <w:szCs w:val="32"/>
        </w:rPr>
        <w:t>@qq.com。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right="960"/>
        <w:jc w:val="righ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教务处</w:t>
      </w:r>
    </w:p>
    <w:p>
      <w:pPr>
        <w:jc w:val="righ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2022年2月23日</w:t>
      </w:r>
    </w:p>
    <w:p>
      <w:pPr>
        <w:rPr>
          <w:rFonts w:ascii="仿宋_GB2312" w:eastAsia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43"/>
    <w:rsid w:val="0016154C"/>
    <w:rsid w:val="001D0A5F"/>
    <w:rsid w:val="001F53C6"/>
    <w:rsid w:val="00372DB6"/>
    <w:rsid w:val="003D37A8"/>
    <w:rsid w:val="00571B8D"/>
    <w:rsid w:val="00581243"/>
    <w:rsid w:val="005C13C5"/>
    <w:rsid w:val="005E4D71"/>
    <w:rsid w:val="00684889"/>
    <w:rsid w:val="007272B7"/>
    <w:rsid w:val="00795EF3"/>
    <w:rsid w:val="007F6F90"/>
    <w:rsid w:val="00974280"/>
    <w:rsid w:val="00B2595A"/>
    <w:rsid w:val="00B35165"/>
    <w:rsid w:val="00BA72C6"/>
    <w:rsid w:val="00C30386"/>
    <w:rsid w:val="00C45193"/>
    <w:rsid w:val="00C47BFF"/>
    <w:rsid w:val="00CE2BDD"/>
    <w:rsid w:val="00DC553D"/>
    <w:rsid w:val="00DF4DCF"/>
    <w:rsid w:val="00F1289A"/>
    <w:rsid w:val="00F25014"/>
    <w:rsid w:val="00F94C9B"/>
    <w:rsid w:val="0F5E3CE3"/>
    <w:rsid w:val="1DFA322A"/>
    <w:rsid w:val="52F61B4A"/>
    <w:rsid w:val="78A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napToGrid w:val="0"/>
      <w:spacing w:line="480" w:lineRule="exact"/>
      <w:ind w:firstLine="480" w:firstLineChars="200"/>
    </w:pPr>
    <w:rPr>
      <w:rFonts w:ascii="Arial" w:hAnsi="Arial" w:eastAsia="宋体" w:cs="Times New Roman"/>
      <w:color w:val="000000"/>
      <w:sz w:val="18"/>
      <w:szCs w:val="20"/>
    </w:rPr>
  </w:style>
  <w:style w:type="paragraph" w:styleId="3">
    <w:name w:val="Plain Text"/>
    <w:basedOn w:val="1"/>
    <w:link w:val="12"/>
    <w:unhideWhenUsed/>
    <w:qFormat/>
    <w:uiPriority w:val="99"/>
    <w:rPr>
      <w:rFonts w:hint="eastAsia" w:ascii="宋体" w:hAnsi="Courier New" w:eastAsia="宋体" w:cs="Times New Roman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563C1"/>
      <w:u w:val="single"/>
    </w:rPr>
  </w:style>
  <w:style w:type="character" w:customStyle="1" w:styleId="9">
    <w:name w:val="页眉 字符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2"/>
    <w:qFormat/>
    <w:uiPriority w:val="99"/>
    <w:rPr>
      <w:rFonts w:ascii="Arial" w:hAnsi="Arial" w:eastAsia="宋体" w:cs="Times New Roman"/>
      <w:color w:val="000000"/>
      <w:sz w:val="18"/>
      <w:szCs w:val="20"/>
    </w:rPr>
  </w:style>
  <w:style w:type="character" w:customStyle="1" w:styleId="12">
    <w:name w:val="纯文本 字符"/>
    <w:basedOn w:val="7"/>
    <w:link w:val="3"/>
    <w:qFormat/>
    <w:uiPriority w:val="99"/>
    <w:rPr>
      <w:rFonts w:ascii="宋体" w:hAnsi="Courier New" w:eastAsia="宋体" w:cs="Times New Roman"/>
      <w:szCs w:val="24"/>
    </w:rPr>
  </w:style>
  <w:style w:type="paragraph" w:customStyle="1" w:styleId="13">
    <w:name w:val="_Style 1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296</Words>
  <Characters>1688</Characters>
  <Lines>14</Lines>
  <Paragraphs>3</Paragraphs>
  <TotalTime>0</TotalTime>
  <ScaleCrop>false</ScaleCrop>
  <LinksUpToDate>false</LinksUpToDate>
  <CharactersWithSpaces>1981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2022-02-22T10:04:00Z</dcterms:created>
  <dc:creator>Administrator</dc:creator>
  <cp:lastModifiedBy>婷婷</cp:lastModifiedBy>
  <cp:lastPrinted>2022-02-23T02:56:00Z</cp:lastPrinted>
  <dcterms:modified xsi:type="dcterms:W3CDTF">2022-02-24T02:32:16Z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F1F1F80F70E5410B97F47179B51F4F98</vt:lpwstr>
  </property>
</Properties>
</file>